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E99" w:rsidRPr="00B74E99" w:rsidRDefault="00B74E99">
      <w:pPr>
        <w:rPr>
          <w:rFonts w:asciiTheme="majorHAnsi" w:hAnsiTheme="majorHAnsi" w:cstheme="majorHAnsi"/>
        </w:rPr>
      </w:pPr>
      <w:r w:rsidRPr="00B74E99">
        <w:rPr>
          <w:rFonts w:asciiTheme="majorHAnsi" w:hAnsiTheme="majorHAnsi" w:cstheme="majorHAnsi"/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4721860</wp:posOffset>
            </wp:positionH>
            <wp:positionV relativeFrom="paragraph">
              <wp:posOffset>11430</wp:posOffset>
            </wp:positionV>
            <wp:extent cx="1409700" cy="1409700"/>
            <wp:effectExtent l="0" t="0" r="0" b="0"/>
            <wp:wrapTight wrapText="bothSides">
              <wp:wrapPolygon edited="0">
                <wp:start x="9341" y="1459"/>
                <wp:lineTo x="7297" y="6422"/>
                <wp:lineTo x="4670" y="7297"/>
                <wp:lineTo x="2919" y="9049"/>
                <wp:lineTo x="4086" y="16054"/>
                <wp:lineTo x="4086" y="16930"/>
                <wp:lineTo x="8173" y="19265"/>
                <wp:lineTo x="9632" y="19849"/>
                <wp:lineTo x="11676" y="19849"/>
                <wp:lineTo x="13135" y="19265"/>
                <wp:lineTo x="17222" y="16930"/>
                <wp:lineTo x="17222" y="16054"/>
                <wp:lineTo x="18681" y="9341"/>
                <wp:lineTo x="16638" y="7297"/>
                <wp:lineTo x="14011" y="6714"/>
                <wp:lineTo x="13427" y="4670"/>
                <wp:lineTo x="11968" y="1459"/>
                <wp:lineTo x="9341" y="1459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ligious-Sisters-of-Charity-Icon-Transparent-for-pri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4E99">
        <w:rPr>
          <w:rFonts w:asciiTheme="majorHAnsi" w:hAnsiTheme="majorHAnsi" w:cstheme="majorHAnsi"/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-219075</wp:posOffset>
            </wp:positionH>
            <wp:positionV relativeFrom="paragraph">
              <wp:posOffset>106680</wp:posOffset>
            </wp:positionV>
            <wp:extent cx="1219200" cy="1153795"/>
            <wp:effectExtent l="0" t="0" r="0" b="8255"/>
            <wp:wrapTight wrapText="bothSides">
              <wp:wrapPolygon edited="0">
                <wp:start x="7088" y="0"/>
                <wp:lineTo x="0" y="9272"/>
                <wp:lineTo x="338" y="11769"/>
                <wp:lineTo x="4388" y="12125"/>
                <wp:lineTo x="0" y="17475"/>
                <wp:lineTo x="0" y="19258"/>
                <wp:lineTo x="2363" y="21041"/>
                <wp:lineTo x="4388" y="21398"/>
                <wp:lineTo x="6075" y="21398"/>
                <wp:lineTo x="10800" y="21041"/>
                <wp:lineTo x="19238" y="18901"/>
                <wp:lineTo x="18900" y="17832"/>
                <wp:lineTo x="20925" y="14622"/>
                <wp:lineTo x="20925" y="9986"/>
                <wp:lineTo x="19575" y="8559"/>
                <wp:lineTo x="13838" y="6419"/>
                <wp:lineTo x="8775" y="0"/>
                <wp:lineTo x="7088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-andrews-hospice-logo-colour-cmyk-300dpi-transparent - Croppe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53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4E99" w:rsidRPr="00B74E99" w:rsidRDefault="00B74E99">
      <w:pPr>
        <w:rPr>
          <w:rFonts w:asciiTheme="majorHAnsi" w:hAnsiTheme="majorHAnsi" w:cstheme="majorHAnsi"/>
        </w:rPr>
      </w:pPr>
    </w:p>
    <w:p w:rsidR="00B74E99" w:rsidRPr="00B74E99" w:rsidRDefault="00B74E99">
      <w:pPr>
        <w:rPr>
          <w:rFonts w:asciiTheme="majorHAnsi" w:hAnsiTheme="majorHAnsi" w:cstheme="majorHAnsi"/>
        </w:rPr>
      </w:pPr>
    </w:p>
    <w:tbl>
      <w:tblPr>
        <w:tblStyle w:val="TableGrid"/>
        <w:tblW w:w="9706" w:type="dxa"/>
        <w:jc w:val="center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6108"/>
        <w:gridCol w:w="1295"/>
        <w:gridCol w:w="1134"/>
        <w:gridCol w:w="1169"/>
      </w:tblGrid>
      <w:tr w:rsidR="00B74E99" w:rsidRPr="00B74E99" w:rsidTr="00B74E99">
        <w:trPr>
          <w:trHeight w:val="693"/>
          <w:jc w:val="center"/>
        </w:trPr>
        <w:tc>
          <w:tcPr>
            <w:tcW w:w="9706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  <w:sz w:val="28"/>
              </w:rPr>
            </w:pPr>
          </w:p>
          <w:p w:rsidR="00B74E99" w:rsidRPr="00B74E99" w:rsidRDefault="00B74E99" w:rsidP="005C1293">
            <w:pPr>
              <w:pStyle w:val="Title"/>
              <w:rPr>
                <w:sz w:val="32"/>
              </w:rPr>
            </w:pPr>
            <w:r w:rsidRPr="00B74E99">
              <w:t>Du</w:t>
            </w:r>
            <w:r w:rsidR="007E4732">
              <w:t>ty of Candour Annual Report 2022/23</w:t>
            </w:r>
          </w:p>
        </w:tc>
      </w:tr>
      <w:tr w:rsidR="00B74E99" w:rsidRPr="00B74E99" w:rsidTr="00B74E99">
        <w:trPr>
          <w:trHeight w:val="816"/>
          <w:jc w:val="center"/>
        </w:trPr>
        <w:tc>
          <w:tcPr>
            <w:tcW w:w="61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>Date of Report:</w:t>
            </w:r>
            <w:r w:rsidR="007E4732">
              <w:rPr>
                <w:rFonts w:asciiTheme="majorHAnsi" w:hAnsiTheme="majorHAnsi" w:cstheme="majorHAnsi"/>
              </w:rPr>
              <w:t xml:space="preserve"> April 2023</w:t>
            </w:r>
            <w:bookmarkStart w:id="0" w:name="_GoBack"/>
            <w:bookmarkEnd w:id="0"/>
          </w:p>
        </w:tc>
        <w:tc>
          <w:tcPr>
            <w:tcW w:w="3598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B74E99" w:rsidRPr="00B74E99" w:rsidTr="00B74E99">
        <w:trPr>
          <w:trHeight w:val="1123"/>
          <w:jc w:val="center"/>
        </w:trPr>
        <w:tc>
          <w:tcPr>
            <w:tcW w:w="610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74E99" w:rsidRPr="00B74E99" w:rsidRDefault="00B74E99" w:rsidP="00B74E99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 xml:space="preserve">On how many occasions has the duty of candour procedure been activated by </w:t>
            </w:r>
            <w:r>
              <w:rPr>
                <w:rFonts w:asciiTheme="majorHAnsi" w:hAnsiTheme="majorHAnsi" w:cstheme="majorHAnsi"/>
              </w:rPr>
              <w:t>St Andrew’s</w:t>
            </w:r>
            <w:r w:rsidRPr="00B74E99">
              <w:rPr>
                <w:rFonts w:asciiTheme="majorHAnsi" w:hAnsiTheme="majorHAnsi" w:cstheme="majorHAnsi"/>
              </w:rPr>
              <w:t xml:space="preserve"> Hospice during the last financial year?</w:t>
            </w:r>
          </w:p>
        </w:tc>
        <w:tc>
          <w:tcPr>
            <w:tcW w:w="3598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74E99" w:rsidRPr="00B74E99" w:rsidRDefault="00A40374" w:rsidP="005F2043">
            <w:pPr>
              <w:pStyle w:val="NoSpacing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</w:t>
            </w:r>
          </w:p>
        </w:tc>
      </w:tr>
      <w:tr w:rsidR="00B74E99" w:rsidRPr="00B74E99" w:rsidTr="00B74E99">
        <w:trPr>
          <w:trHeight w:val="845"/>
          <w:jc w:val="center"/>
        </w:trPr>
        <w:tc>
          <w:tcPr>
            <w:tcW w:w="6108" w:type="dxa"/>
            <w:shd w:val="clear" w:color="auto" w:fill="E7E6E6" w:themeFill="background2"/>
            <w:vAlign w:val="center"/>
          </w:tcPr>
          <w:p w:rsidR="00B74E99" w:rsidRPr="00B74E99" w:rsidRDefault="00B74E99" w:rsidP="005F2043">
            <w:pPr>
              <w:rPr>
                <w:rFonts w:asciiTheme="majorHAnsi" w:hAnsiTheme="majorHAnsi" w:cstheme="majorHAnsi"/>
                <w:b/>
                <w:szCs w:val="20"/>
              </w:rPr>
            </w:pPr>
            <w:r w:rsidRPr="00B74E99">
              <w:rPr>
                <w:rFonts w:asciiTheme="majorHAnsi" w:hAnsiTheme="majorHAnsi" w:cstheme="majorHAnsi"/>
                <w:b/>
                <w:szCs w:val="20"/>
              </w:rPr>
              <w:t>Category of unexpected or unintended incident resulting in duty of candour procedure being activated</w:t>
            </w:r>
          </w:p>
        </w:tc>
        <w:tc>
          <w:tcPr>
            <w:tcW w:w="1295" w:type="dxa"/>
            <w:shd w:val="clear" w:color="auto" w:fill="E7E6E6" w:themeFill="background2"/>
            <w:vAlign w:val="center"/>
          </w:tcPr>
          <w:p w:rsidR="00B74E99" w:rsidRPr="00B74E99" w:rsidRDefault="00B74E99" w:rsidP="005F2043">
            <w:pPr>
              <w:rPr>
                <w:rFonts w:asciiTheme="majorHAnsi" w:hAnsiTheme="majorHAnsi" w:cstheme="majorHAnsi"/>
                <w:b/>
                <w:szCs w:val="20"/>
              </w:rPr>
            </w:pPr>
            <w:r w:rsidRPr="00B74E99">
              <w:rPr>
                <w:rFonts w:asciiTheme="majorHAnsi" w:hAnsiTheme="majorHAnsi" w:cstheme="majorHAnsi"/>
                <w:b/>
                <w:szCs w:val="20"/>
              </w:rPr>
              <w:t>No of occasions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B74E99" w:rsidRPr="00B74E99" w:rsidRDefault="00B74E99" w:rsidP="005F2043">
            <w:pPr>
              <w:rPr>
                <w:rFonts w:asciiTheme="majorHAnsi" w:hAnsiTheme="majorHAnsi" w:cstheme="majorHAnsi"/>
                <w:b/>
                <w:szCs w:val="20"/>
              </w:rPr>
            </w:pPr>
            <w:r w:rsidRPr="00B74E99">
              <w:rPr>
                <w:rFonts w:asciiTheme="majorHAnsi" w:hAnsiTheme="majorHAnsi" w:cstheme="majorHAnsi"/>
                <w:b/>
                <w:szCs w:val="20"/>
              </w:rPr>
              <w:t>Incident No.</w:t>
            </w:r>
          </w:p>
        </w:tc>
        <w:tc>
          <w:tcPr>
            <w:tcW w:w="1169" w:type="dxa"/>
            <w:shd w:val="clear" w:color="auto" w:fill="E7E6E6" w:themeFill="background2"/>
            <w:vAlign w:val="center"/>
          </w:tcPr>
          <w:p w:rsidR="00B74E99" w:rsidRPr="00B74E99" w:rsidRDefault="00B74E99" w:rsidP="005F2043">
            <w:pPr>
              <w:rPr>
                <w:rFonts w:asciiTheme="majorHAnsi" w:hAnsiTheme="majorHAnsi" w:cstheme="majorHAnsi"/>
                <w:b/>
                <w:szCs w:val="20"/>
              </w:rPr>
            </w:pPr>
            <w:r w:rsidRPr="00B74E99">
              <w:rPr>
                <w:rFonts w:asciiTheme="majorHAnsi" w:hAnsiTheme="majorHAnsi" w:cstheme="majorHAnsi"/>
                <w:b/>
                <w:szCs w:val="20"/>
              </w:rPr>
              <w:t>Reported to HIS</w:t>
            </w:r>
          </w:p>
        </w:tc>
      </w:tr>
      <w:tr w:rsidR="00B74E99" w:rsidRPr="00B74E99" w:rsidTr="00B74E99">
        <w:trPr>
          <w:trHeight w:val="546"/>
          <w:jc w:val="center"/>
        </w:trPr>
        <w:tc>
          <w:tcPr>
            <w:tcW w:w="6108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>Death of a person</w:t>
            </w:r>
          </w:p>
        </w:tc>
        <w:tc>
          <w:tcPr>
            <w:tcW w:w="1295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134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1169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B74E99" w:rsidRPr="00B74E99" w:rsidTr="00B74E99">
        <w:trPr>
          <w:trHeight w:val="1037"/>
          <w:jc w:val="center"/>
        </w:trPr>
        <w:tc>
          <w:tcPr>
            <w:tcW w:w="6108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  <w:lang w:val="en"/>
              </w:rPr>
              <w:t>Permanent lessening of bodily, sensory, motor, physiologic or intellectual functions (including removal of the wrong limb or organ or brain damage)</w:t>
            </w:r>
          </w:p>
        </w:tc>
        <w:tc>
          <w:tcPr>
            <w:tcW w:w="1295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134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1169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B74E99" w:rsidRPr="00B74E99" w:rsidTr="00B74E99">
        <w:trPr>
          <w:trHeight w:val="761"/>
          <w:jc w:val="center"/>
        </w:trPr>
        <w:tc>
          <w:tcPr>
            <w:tcW w:w="6108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>An increase in the person's treatment as a result of the incident</w:t>
            </w:r>
          </w:p>
        </w:tc>
        <w:tc>
          <w:tcPr>
            <w:tcW w:w="1295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134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1169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B74E99" w:rsidRPr="00B74E99" w:rsidTr="00B74E99">
        <w:trPr>
          <w:trHeight w:val="744"/>
          <w:jc w:val="center"/>
        </w:trPr>
        <w:tc>
          <w:tcPr>
            <w:tcW w:w="6108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>Changes to the structure of the person's body as a result of the incident</w:t>
            </w:r>
          </w:p>
        </w:tc>
        <w:tc>
          <w:tcPr>
            <w:tcW w:w="1295" w:type="dxa"/>
            <w:vAlign w:val="center"/>
          </w:tcPr>
          <w:p w:rsidR="00B74E99" w:rsidRPr="00B74E99" w:rsidRDefault="00A40374" w:rsidP="005F2043">
            <w:pPr>
              <w:pStyle w:val="NoSpacing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134" w:type="dxa"/>
            <w:vAlign w:val="center"/>
          </w:tcPr>
          <w:p w:rsidR="00B74E99" w:rsidRPr="00B74E99" w:rsidRDefault="00B74E99" w:rsidP="00A40374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1169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B74E99" w:rsidRPr="00B74E99" w:rsidTr="00B74E99">
        <w:trPr>
          <w:trHeight w:val="698"/>
          <w:jc w:val="center"/>
        </w:trPr>
        <w:tc>
          <w:tcPr>
            <w:tcW w:w="6108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>The shortening of the life expectancy of the person as result of the incident</w:t>
            </w:r>
          </w:p>
        </w:tc>
        <w:tc>
          <w:tcPr>
            <w:tcW w:w="1295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134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1169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B74E99" w:rsidRPr="00B74E99" w:rsidTr="00B74E99">
        <w:trPr>
          <w:trHeight w:val="1013"/>
          <w:jc w:val="center"/>
        </w:trPr>
        <w:tc>
          <w:tcPr>
            <w:tcW w:w="6108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>An impairment of the sensory, motor or intellectual functions of the person which has lasted, or is likely to last, for a continuous period of at least 28 days</w:t>
            </w:r>
          </w:p>
        </w:tc>
        <w:tc>
          <w:tcPr>
            <w:tcW w:w="1295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134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1169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B74E99" w:rsidRPr="00B74E99" w:rsidTr="00B74E99">
        <w:trPr>
          <w:trHeight w:val="1023"/>
          <w:jc w:val="center"/>
        </w:trPr>
        <w:tc>
          <w:tcPr>
            <w:tcW w:w="6108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>The person experiencing pain or psychological harm which has been, or is likely to be, experienced by the person for a continuous period of at least 28 days.</w:t>
            </w:r>
          </w:p>
        </w:tc>
        <w:tc>
          <w:tcPr>
            <w:tcW w:w="1295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134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1169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B74E99" w:rsidRPr="00B74E99" w:rsidTr="00B74E99">
        <w:trPr>
          <w:trHeight w:val="816"/>
          <w:jc w:val="center"/>
        </w:trPr>
        <w:tc>
          <w:tcPr>
            <w:tcW w:w="6108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>The person required treatment by a registered health professional in order to prevent their death</w:t>
            </w:r>
          </w:p>
        </w:tc>
        <w:tc>
          <w:tcPr>
            <w:tcW w:w="1295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134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1169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B74E99" w:rsidRPr="00B74E99" w:rsidTr="00B74E99">
        <w:trPr>
          <w:trHeight w:val="851"/>
          <w:jc w:val="center"/>
        </w:trPr>
        <w:tc>
          <w:tcPr>
            <w:tcW w:w="6108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>An injury to the person as a result of the incident which, if left untreated, would lead to any of the categories above</w:t>
            </w:r>
          </w:p>
        </w:tc>
        <w:tc>
          <w:tcPr>
            <w:tcW w:w="1295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134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1169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</w:tbl>
    <w:p w:rsidR="00B74E99" w:rsidRPr="00B74E99" w:rsidRDefault="00B74E99" w:rsidP="00B74E99">
      <w:pPr>
        <w:rPr>
          <w:rFonts w:asciiTheme="majorHAnsi" w:hAnsiTheme="majorHAnsi" w:cstheme="majorHAnsi"/>
        </w:rPr>
      </w:pPr>
    </w:p>
    <w:p w:rsidR="00B74E99" w:rsidRPr="00B74E99" w:rsidRDefault="00B74E99" w:rsidP="00B74E99">
      <w:pPr>
        <w:rPr>
          <w:rFonts w:asciiTheme="majorHAnsi" w:hAnsiTheme="majorHAnsi" w:cstheme="majorHAnsi"/>
        </w:rPr>
      </w:pPr>
    </w:p>
    <w:p w:rsidR="00B74E99" w:rsidRPr="00B74E99" w:rsidRDefault="00B74E99" w:rsidP="00B74E99">
      <w:pPr>
        <w:rPr>
          <w:rFonts w:asciiTheme="majorHAnsi" w:hAnsiTheme="majorHAnsi" w:cstheme="majorHAnsi"/>
        </w:rPr>
      </w:pPr>
    </w:p>
    <w:p w:rsidR="00B74E99" w:rsidRPr="00B74E99" w:rsidRDefault="00B74E99" w:rsidP="00B74E99">
      <w:pPr>
        <w:rPr>
          <w:rFonts w:asciiTheme="majorHAnsi" w:hAnsiTheme="majorHAnsi" w:cstheme="majorHAnsi"/>
        </w:rPr>
      </w:pPr>
    </w:p>
    <w:p w:rsidR="00B74E99" w:rsidRPr="00B74E99" w:rsidRDefault="00B74E99" w:rsidP="00B74E99">
      <w:pPr>
        <w:rPr>
          <w:rFonts w:asciiTheme="majorHAnsi" w:hAnsiTheme="majorHAnsi" w:cstheme="majorHAnsi"/>
        </w:rPr>
      </w:pPr>
    </w:p>
    <w:tbl>
      <w:tblPr>
        <w:tblStyle w:val="TableGrid"/>
        <w:tblW w:w="0" w:type="auto"/>
        <w:jc w:val="center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4598"/>
        <w:gridCol w:w="4418"/>
      </w:tblGrid>
      <w:tr w:rsidR="00B064C8" w:rsidRPr="00B74E99" w:rsidTr="005F2043">
        <w:trPr>
          <w:trHeight w:val="851"/>
          <w:jc w:val="center"/>
        </w:trPr>
        <w:tc>
          <w:tcPr>
            <w:tcW w:w="4913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 xml:space="preserve">How have you ensured that your staff understand their responsibilities relating to duty of candour and that systems are in place to respond effectively? </w:t>
            </w:r>
          </w:p>
        </w:tc>
        <w:tc>
          <w:tcPr>
            <w:tcW w:w="4768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Duty of Candour training available through LearnPro</w:t>
            </w:r>
          </w:p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B064C8" w:rsidRPr="00B74E99" w:rsidTr="005F2043">
        <w:trPr>
          <w:trHeight w:val="851"/>
          <w:jc w:val="center"/>
        </w:trPr>
        <w:tc>
          <w:tcPr>
            <w:tcW w:w="4913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 xml:space="preserve">Do you have a duty of candour policy? </w:t>
            </w:r>
          </w:p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4768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>Yes</w:t>
            </w:r>
          </w:p>
        </w:tc>
      </w:tr>
      <w:tr w:rsidR="00B064C8" w:rsidRPr="00B74E99" w:rsidTr="005F2043">
        <w:trPr>
          <w:trHeight w:val="851"/>
          <w:jc w:val="center"/>
        </w:trPr>
        <w:tc>
          <w:tcPr>
            <w:tcW w:w="4913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 xml:space="preserve">Was the duty of candour procedure followed correctly after it was activated on the occasion(s) you are reporting on? </w:t>
            </w:r>
          </w:p>
        </w:tc>
        <w:tc>
          <w:tcPr>
            <w:tcW w:w="4768" w:type="dxa"/>
            <w:vAlign w:val="center"/>
          </w:tcPr>
          <w:p w:rsidR="00B74E99" w:rsidRPr="00B74E99" w:rsidRDefault="00A40374" w:rsidP="005F2043">
            <w:pPr>
              <w:pStyle w:val="NoSpacing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</w:t>
            </w:r>
          </w:p>
        </w:tc>
      </w:tr>
      <w:tr w:rsidR="00B064C8" w:rsidRPr="00B74E99" w:rsidTr="005F2043">
        <w:trPr>
          <w:trHeight w:val="851"/>
          <w:jc w:val="center"/>
        </w:trPr>
        <w:tc>
          <w:tcPr>
            <w:tcW w:w="4913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 xml:space="preserve">What lessons were learned? </w:t>
            </w:r>
          </w:p>
        </w:tc>
        <w:tc>
          <w:tcPr>
            <w:tcW w:w="4768" w:type="dxa"/>
            <w:vAlign w:val="center"/>
          </w:tcPr>
          <w:p w:rsidR="008C157F" w:rsidRPr="008C157F" w:rsidRDefault="008C157F" w:rsidP="008C157F">
            <w:pPr>
              <w:shd w:val="clear" w:color="auto" w:fill="FFFFFF"/>
              <w:textAlignment w:val="baseline"/>
              <w:rPr>
                <w:rFonts w:ascii="Tahoma" w:eastAsia="Times New Roman" w:hAnsi="Tahoma" w:cs="Tahoma"/>
                <w:color w:val="212121"/>
                <w:sz w:val="20"/>
                <w:szCs w:val="20"/>
                <w:lang w:val="en" w:eastAsia="en-GB"/>
              </w:rPr>
            </w:pPr>
          </w:p>
          <w:p w:rsidR="00B74E99" w:rsidRPr="00A40374" w:rsidRDefault="00B74E99" w:rsidP="00A40374">
            <w:pPr>
              <w:shd w:val="clear" w:color="auto" w:fill="FFFFFF"/>
              <w:textAlignment w:val="baseline"/>
              <w:rPr>
                <w:rFonts w:ascii="Tahoma" w:eastAsia="Times New Roman" w:hAnsi="Tahoma" w:cs="Tahoma"/>
                <w:color w:val="212121"/>
                <w:sz w:val="20"/>
                <w:szCs w:val="20"/>
                <w:lang w:val="en" w:eastAsia="en-GB"/>
              </w:rPr>
            </w:pPr>
          </w:p>
        </w:tc>
      </w:tr>
      <w:tr w:rsidR="00B064C8" w:rsidRPr="00B74E99" w:rsidTr="005F2043">
        <w:trPr>
          <w:trHeight w:val="851"/>
          <w:jc w:val="center"/>
        </w:trPr>
        <w:tc>
          <w:tcPr>
            <w:tcW w:w="4913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 xml:space="preserve">What improvements have been implemented as a result? </w:t>
            </w:r>
          </w:p>
        </w:tc>
        <w:tc>
          <w:tcPr>
            <w:tcW w:w="4768" w:type="dxa"/>
            <w:vAlign w:val="center"/>
          </w:tcPr>
          <w:p w:rsidR="008C157F" w:rsidRPr="00A40374" w:rsidRDefault="005C1293" w:rsidP="00A40374">
            <w:pPr>
              <w:shd w:val="clear" w:color="auto" w:fill="FFFFFF"/>
              <w:textAlignment w:val="baseline"/>
              <w:rPr>
                <w:rFonts w:ascii="Tahoma" w:eastAsia="Times New Roman" w:hAnsi="Tahoma" w:cs="Tahoma"/>
                <w:color w:val="212121"/>
                <w:sz w:val="20"/>
                <w:szCs w:val="20"/>
                <w:lang w:val="en" w:eastAsia="en-GB"/>
              </w:rPr>
            </w:pPr>
            <w:r w:rsidRPr="00A40374">
              <w:rPr>
                <w:rFonts w:ascii="Tahoma" w:eastAsia="Times New Roman" w:hAnsi="Tahoma" w:cs="Tahoma"/>
                <w:color w:val="212121"/>
                <w:sz w:val="20"/>
                <w:szCs w:val="20"/>
                <w:lang w:val="en" w:eastAsia="en-GB"/>
              </w:rPr>
              <w:t xml:space="preserve"> </w:t>
            </w:r>
          </w:p>
        </w:tc>
      </w:tr>
      <w:tr w:rsidR="00B064C8" w:rsidRPr="00B74E99" w:rsidTr="005F2043">
        <w:trPr>
          <w:trHeight w:val="851"/>
          <w:jc w:val="center"/>
        </w:trPr>
        <w:tc>
          <w:tcPr>
            <w:tcW w:w="4913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 xml:space="preserve">Was your duty of candour policy/procedure changed as a result of any of the incidents you are reporting? </w:t>
            </w:r>
          </w:p>
        </w:tc>
        <w:tc>
          <w:tcPr>
            <w:tcW w:w="4768" w:type="dxa"/>
            <w:vAlign w:val="center"/>
          </w:tcPr>
          <w:p w:rsidR="00B74E99" w:rsidRPr="00B74E99" w:rsidRDefault="00A40374" w:rsidP="005F2043">
            <w:pPr>
              <w:pStyle w:val="NoSpacing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</w:t>
            </w:r>
          </w:p>
        </w:tc>
      </w:tr>
      <w:tr w:rsidR="00B064C8" w:rsidRPr="00B74E99" w:rsidTr="005F2043">
        <w:trPr>
          <w:trHeight w:val="851"/>
          <w:jc w:val="center"/>
        </w:trPr>
        <w:tc>
          <w:tcPr>
            <w:tcW w:w="4913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 xml:space="preserve">How did you share lessons learned and who did you share them with? </w:t>
            </w:r>
          </w:p>
        </w:tc>
        <w:tc>
          <w:tcPr>
            <w:tcW w:w="4768" w:type="dxa"/>
            <w:vAlign w:val="center"/>
          </w:tcPr>
          <w:p w:rsidR="00B74E99" w:rsidRPr="00B74E99" w:rsidRDefault="00A40374" w:rsidP="005F2043">
            <w:pPr>
              <w:pStyle w:val="NoSpacing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</w:t>
            </w:r>
          </w:p>
        </w:tc>
      </w:tr>
      <w:tr w:rsidR="00B064C8" w:rsidRPr="00B74E99" w:rsidTr="005F2043">
        <w:trPr>
          <w:trHeight w:val="851"/>
          <w:jc w:val="center"/>
        </w:trPr>
        <w:tc>
          <w:tcPr>
            <w:tcW w:w="4913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 xml:space="preserve">Could any further improvements be made? </w:t>
            </w:r>
          </w:p>
        </w:tc>
        <w:tc>
          <w:tcPr>
            <w:tcW w:w="4768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>NA</w:t>
            </w:r>
          </w:p>
        </w:tc>
      </w:tr>
      <w:tr w:rsidR="00B064C8" w:rsidRPr="00B74E99" w:rsidTr="005F2043">
        <w:trPr>
          <w:trHeight w:val="851"/>
          <w:jc w:val="center"/>
        </w:trPr>
        <w:tc>
          <w:tcPr>
            <w:tcW w:w="4913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 xml:space="preserve">What systems do you have in place to support staff to provide an apology in a person-centred way? </w:t>
            </w:r>
          </w:p>
        </w:tc>
        <w:tc>
          <w:tcPr>
            <w:tcW w:w="4768" w:type="dxa"/>
            <w:vAlign w:val="center"/>
          </w:tcPr>
          <w:p w:rsidR="00B74E99" w:rsidRPr="00B74E99" w:rsidRDefault="005C1293" w:rsidP="005F2043">
            <w:pPr>
              <w:pStyle w:val="NoSpacing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Duty of Candour and Power of the Apology training is in place, and mandatory, for all staff.  </w:t>
            </w:r>
          </w:p>
        </w:tc>
      </w:tr>
      <w:tr w:rsidR="00B064C8" w:rsidRPr="00B74E99" w:rsidTr="005F2043">
        <w:trPr>
          <w:trHeight w:val="851"/>
          <w:jc w:val="center"/>
        </w:trPr>
        <w:tc>
          <w:tcPr>
            <w:tcW w:w="4913" w:type="dxa"/>
            <w:vAlign w:val="center"/>
          </w:tcPr>
          <w:p w:rsidR="00B74E99" w:rsidRPr="00B74E99" w:rsidRDefault="00B74E99" w:rsidP="005F2043">
            <w:pPr>
              <w:pStyle w:val="NoSpacing"/>
              <w:rPr>
                <w:rFonts w:asciiTheme="majorHAnsi" w:hAnsiTheme="majorHAnsi" w:cstheme="majorHAnsi"/>
              </w:rPr>
            </w:pPr>
            <w:r w:rsidRPr="00B74E99">
              <w:rPr>
                <w:rFonts w:asciiTheme="majorHAnsi" w:hAnsiTheme="majorHAnsi" w:cstheme="majorHAnsi"/>
              </w:rPr>
              <w:t xml:space="preserve">What support do you have available for people invoking the procedure? </w:t>
            </w:r>
          </w:p>
        </w:tc>
        <w:tc>
          <w:tcPr>
            <w:tcW w:w="4768" w:type="dxa"/>
            <w:vAlign w:val="center"/>
          </w:tcPr>
          <w:p w:rsidR="00B74E99" w:rsidRPr="00B74E99" w:rsidRDefault="005C1293" w:rsidP="005F2043">
            <w:pPr>
              <w:pStyle w:val="NoSpacing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Support is available through structured supervision and peer reflection sessions. </w:t>
            </w:r>
          </w:p>
        </w:tc>
      </w:tr>
    </w:tbl>
    <w:p w:rsidR="0074267D" w:rsidRPr="00B74E99" w:rsidRDefault="0074267D">
      <w:pPr>
        <w:rPr>
          <w:rFonts w:asciiTheme="majorHAnsi" w:hAnsiTheme="majorHAnsi" w:cstheme="majorHAnsi"/>
        </w:rPr>
      </w:pPr>
    </w:p>
    <w:sectPr w:rsidR="0074267D" w:rsidRPr="00B74E99" w:rsidSect="005C1293">
      <w:pgSz w:w="11906" w:h="16838"/>
      <w:pgMar w:top="567" w:right="1440" w:bottom="1440" w:left="144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8EB" w:rsidRDefault="004228EB" w:rsidP="00B74E99">
      <w:pPr>
        <w:spacing w:after="0" w:line="240" w:lineRule="auto"/>
      </w:pPr>
      <w:r>
        <w:separator/>
      </w:r>
    </w:p>
  </w:endnote>
  <w:endnote w:type="continuationSeparator" w:id="0">
    <w:p w:rsidR="004228EB" w:rsidRDefault="004228EB" w:rsidP="00B74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8EB" w:rsidRDefault="004228EB" w:rsidP="00B74E99">
      <w:pPr>
        <w:spacing w:after="0" w:line="240" w:lineRule="auto"/>
      </w:pPr>
      <w:r>
        <w:separator/>
      </w:r>
    </w:p>
  </w:footnote>
  <w:footnote w:type="continuationSeparator" w:id="0">
    <w:p w:rsidR="004228EB" w:rsidRDefault="004228EB" w:rsidP="00B74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37564"/>
    <w:multiLevelType w:val="hybridMultilevel"/>
    <w:tmpl w:val="49BC2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A7781"/>
    <w:multiLevelType w:val="hybridMultilevel"/>
    <w:tmpl w:val="E0D05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81B90"/>
    <w:multiLevelType w:val="multilevel"/>
    <w:tmpl w:val="3836E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8F20B4"/>
    <w:multiLevelType w:val="multilevel"/>
    <w:tmpl w:val="949EF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99"/>
    <w:rsid w:val="004228EB"/>
    <w:rsid w:val="005C1293"/>
    <w:rsid w:val="0074267D"/>
    <w:rsid w:val="007E4732"/>
    <w:rsid w:val="008C157F"/>
    <w:rsid w:val="009B5486"/>
    <w:rsid w:val="00A02486"/>
    <w:rsid w:val="00A40374"/>
    <w:rsid w:val="00AD3773"/>
    <w:rsid w:val="00B064C8"/>
    <w:rsid w:val="00B74E99"/>
    <w:rsid w:val="00CD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E91BE"/>
  <w15:chartTrackingRefBased/>
  <w15:docId w15:val="{0C6D4C1F-F655-416E-BEBC-C3FBAEF1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4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74E9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4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E99"/>
  </w:style>
  <w:style w:type="paragraph" w:styleId="Footer">
    <w:name w:val="footer"/>
    <w:basedOn w:val="Normal"/>
    <w:link w:val="FooterChar"/>
    <w:uiPriority w:val="99"/>
    <w:unhideWhenUsed/>
    <w:rsid w:val="00B74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E99"/>
  </w:style>
  <w:style w:type="paragraph" w:styleId="ListParagraph">
    <w:name w:val="List Paragraph"/>
    <w:basedOn w:val="Normal"/>
    <w:uiPriority w:val="34"/>
    <w:qFormat/>
    <w:rsid w:val="008C157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5C12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29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3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1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7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5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386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468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09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061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789825">
                                                      <w:marLeft w:val="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2" w:color="999999"/>
                                                        <w:left w:val="single" w:sz="6" w:space="2" w:color="999999"/>
                                                        <w:bottom w:val="single" w:sz="6" w:space="2" w:color="999999"/>
                                                        <w:right w:val="single" w:sz="6" w:space="2" w:color="999999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5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8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3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3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93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97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737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60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712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3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904589">
                                                      <w:marLeft w:val="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2" w:color="999999"/>
                                                        <w:left w:val="single" w:sz="6" w:space="2" w:color="999999"/>
                                                        <w:bottom w:val="single" w:sz="6" w:space="2" w:color="999999"/>
                                                        <w:right w:val="single" w:sz="6" w:space="2" w:color="999999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Lanarkshire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Cowper, Wendy - Quality Governance Manager</dc:creator>
  <cp:keywords/>
  <dc:description/>
  <cp:lastModifiedBy>Cowper, Wendy - Quality Governance Manager</cp:lastModifiedBy>
  <cp:revision>2</cp:revision>
  <dcterms:created xsi:type="dcterms:W3CDTF">2023-05-24T08:38:00Z</dcterms:created>
  <dcterms:modified xsi:type="dcterms:W3CDTF">2023-05-24T08:38:00Z</dcterms:modified>
</cp:coreProperties>
</file>